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02122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021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02122"/>
          <w:sz w:val="27.989999771118164"/>
          <w:szCs w:val="27.989999771118164"/>
          <w:highlight w:val="white"/>
          <w:u w:val="none"/>
          <w:vertAlign w:val="baseline"/>
          <w:rtl w:val="0"/>
        </w:rPr>
        <w:t xml:space="preserve">igital Literacy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02122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13397216796875" w:right="0" w:firstLine="0"/>
        <w:jc w:val="left"/>
        <w:rPr>
          <w:rFonts w:ascii="Calibri" w:cs="Calibri" w:eastAsia="Calibri" w:hAnsi="Calibri"/>
          <w:b w:val="1"/>
          <w:sz w:val="21.989999771118164"/>
          <w:szCs w:val="21.98999977111816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13397216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Definition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015884399414062" w:right="231.2353515625" w:firstLine="8.7960052490234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Digital literacy is defined as the ability to utilize “communication and information technologies to locate, evaluate, generate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communicate information, which requires both cognitive and technical skills,” (American Library Association, 2017,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single"/>
          <w:vertAlign w:val="baseline"/>
          <w:rtl w:val="0"/>
        </w:rPr>
        <w:t xml:space="preserve">https://literacy.ala.org/digital-literacy/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015884399414062" w:right="231.2353515625" w:firstLine="8.796005249023438"/>
        <w:jc w:val="both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13397216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Rationale and Intent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586578369140625" w:right="31.146240234375" w:firstLine="14.953231811523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929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Digital literacy creates new methods of learning and new ways for students to interact with their interests online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929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929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hrough other digital media. Students are no longer confined to just physical text when it comes to reading 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929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929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learning more about topics of interest. Since they 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immersed in digital environments, it is important they possess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skills that enable them to utilize digital media effectively and ethically for collaboration, academic purposes, social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and civic engagement and lifelong learning.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586578369140625" w:right="31.146240234375" w:firstLine="14.953231811523438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3629150390625" w:right="23.487548828125" w:firstLine="9.6755981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Digital literacy initially focused on digital skills and stand-alone computers, but the increased use of the internet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social media has shifted the focus to include mobile devices. Digital literacy does not replace traditional forms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literacy, but rather builds on and expands skills found in traditional forms of literacy, particularly information literacy.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It should be thought of building upon skills that form the foundation of traditional forms of literacy (Jenkins, </w:t>
      </w:r>
      <w:r w:rsidDel="00000000" w:rsidR="00000000" w:rsidRPr="00000000">
        <w:rPr>
          <w:rFonts w:ascii="Calibri" w:cs="Calibri" w:eastAsia="Calibri" w:hAnsi="Calibri"/>
          <w:i w:val="1"/>
          <w:sz w:val="21.989999771118164"/>
          <w:szCs w:val="21.989999771118164"/>
          <w:highlight w:val="white"/>
          <w:rtl w:val="0"/>
        </w:rPr>
        <w:t xml:space="preserve">Confronting the Challenges of Participatory Culture: Media Education for the 21st</w:t>
      </w:r>
      <w:r w:rsidDel="00000000" w:rsidR="00000000" w:rsidRPr="00000000">
        <w:rPr>
          <w:rFonts w:ascii="Calibri" w:cs="Calibri" w:eastAsia="Calibri" w:hAnsi="Calibri"/>
          <w:i w:val="1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1.989999771118164"/>
          <w:szCs w:val="21.989999771118164"/>
          <w:highlight w:val="white"/>
          <w:rtl w:val="0"/>
        </w:rPr>
        <w:t xml:space="preserve">Century,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highlight w:val="white"/>
          <w:rtl w:val="0"/>
        </w:rPr>
        <w:t xml:space="preserve"> 2009)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Digital literacy should be considered a part of the path to knowledge.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3629150390625" w:right="23.487548828125" w:firstLine="9.67559814453125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586578369140625" w:right="30.71533203125" w:firstLine="14.953231811523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In the LA&amp;S curriculum, certain skills have been prioritized, so that students have the opportunity to further develop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hem throughout their general education course of study. Courses designated as Critical and Creative Thinking across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he Disciplines (CCTAD) courses must address at least one of these goals as a secondary skill. Digital literacy is 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such goal, which can be designated as a secondary skill in a CCTAD course.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586578369140625" w:right="30.71533203125" w:firstLine="14.953231811523438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2566986083984375" w:right="0" w:firstLine="0"/>
        <w:jc w:val="left"/>
        <w:rPr>
          <w:rFonts w:ascii="Calibri" w:cs="Calibri" w:eastAsia="Calibri" w:hAnsi="Calibri"/>
          <w:b w:val="1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Goal</w:t>
      </w:r>
      <w:r w:rsidDel="00000000" w:rsidR="00000000" w:rsidRPr="00000000">
        <w:rPr>
          <w:rFonts w:ascii="Calibri" w:cs="Calibri" w:eastAsia="Calibri" w:hAnsi="Calibri"/>
          <w:b w:val="1"/>
          <w:sz w:val="21.989999771118164"/>
          <w:szCs w:val="21.98999977111816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(approved as a definition for critical thinking in AUC60,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3629150390625" w:right="0" w:firstLine="9.67559814453125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Fitchburg State University students will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ffectively use information and communication technologies to explore ideas, solve problems, and find, evaluate, create, and communicate information in ways that require both cognitive and technical skills.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3629150390625" w:right="0" w:firstLine="9.67559814453125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13397216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Potential Course Objectives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7.9675292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he objectives below are recommended as models for general education course syllabi. The list is not meant to 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complete. Faculty should feel free to adopt these as course objectives, or they may develop their own.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Students will be able to: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103.032226562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Use technical and cognitive skills to find, understand, evaluate, create, and communicate digital information in a wide variety of formats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507.80273437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Effectively and appropriately use a number of technologies to locate and retrieve information, interpret results, and judge the quality of that information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1039.18334960937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Explore the relationship between technology, personal privacy, and responsible and ethical use of information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Recognize the usefulness of technology for life-long learning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Use skills and technology to communicate and collaborate effectively with others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Ethically and legally use digital media and materials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Leverage multimedia compositional skills to create interactive digital reports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Optimize web designs for improved site navigation and user experience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Adapt open-source programs to meet project-specific needs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Use computational tools to analyze and visualize data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Apply best practices for encoding and structuring qualitative data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305.59814453125" w:hanging="360"/>
        <w:jc w:val="left"/>
        <w:rPr>
          <w:rFonts w:ascii="Calibri" w:cs="Calibri" w:eastAsia="Calibri" w:hAnsi="Calibri"/>
          <w:sz w:val="21.989999771118164"/>
          <w:szCs w:val="21.98999977111816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Use skills and technology to actively participate in civic society and contribute to a vibrant, informed, and engaged community. (ALA Digital Literacy Taskforce,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1.989999771118164"/>
            <w:szCs w:val="21.989999771118164"/>
            <w:u w:val="single"/>
            <w:shd w:fill="auto" w:val="clear"/>
            <w:vertAlign w:val="baseline"/>
            <w:rtl w:val="0"/>
          </w:rPr>
          <w:t xml:space="preserve">What is Digital Literacy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1.989999771118164"/>
            <w:szCs w:val="21.989999771118164"/>
            <w:u w:val="single"/>
            <w:rtl w:val="0"/>
          </w:rPr>
          <w:t xml:space="preserve">?</w:t>
        </w:r>
      </w:hyperlink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 2011)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fafafb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la101.org/wp-content/uploads/2015/07/what-is-digilit-2.pdf" TargetMode="External"/><Relationship Id="rId7" Type="http://schemas.openxmlformats.org/officeDocument/2006/relationships/hyperlink" Target="http://www.dla101.org/wp-content/uploads/2015/07/what-is-digilit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