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11DFE" w:rsidRPr="001C6A12" w:rsidRDefault="004B7CC1">
      <w:pPr>
        <w:pBdr>
          <w:top w:val="nil"/>
          <w:left w:val="nil"/>
          <w:bottom w:val="nil"/>
          <w:right w:val="nil"/>
          <w:between w:val="nil"/>
        </w:pBdr>
        <w:jc w:val="center"/>
        <w:rPr>
          <w:rFonts w:asciiTheme="minorHAnsi" w:eastAsia="Times New Roman" w:hAnsiTheme="minorHAnsi" w:cstheme="minorHAnsi"/>
          <w:color w:val="000000"/>
          <w:sz w:val="28"/>
          <w:szCs w:val="28"/>
        </w:rPr>
      </w:pPr>
      <w:r w:rsidRPr="001C6A12">
        <w:rPr>
          <w:rFonts w:asciiTheme="minorHAnsi" w:eastAsia="Arial" w:hAnsiTheme="minorHAnsi" w:cstheme="minorHAnsi"/>
          <w:b/>
          <w:i/>
          <w:color w:val="000000"/>
          <w:sz w:val="28"/>
          <w:szCs w:val="28"/>
        </w:rPr>
        <w:t>Personal Wellness</w:t>
      </w:r>
    </w:p>
    <w:p w14:paraId="00000002" w14:textId="77777777" w:rsidR="00A11DFE" w:rsidRPr="001C6A12" w:rsidRDefault="004B7CC1">
      <w:pPr>
        <w:pBdr>
          <w:top w:val="nil"/>
          <w:left w:val="nil"/>
          <w:bottom w:val="nil"/>
          <w:right w:val="nil"/>
          <w:between w:val="nil"/>
        </w:pBdr>
        <w:jc w:val="center"/>
        <w:rPr>
          <w:rFonts w:asciiTheme="minorHAnsi" w:eastAsia="Times New Roman" w:hAnsiTheme="minorHAnsi" w:cstheme="minorHAnsi"/>
          <w:color w:val="000000"/>
          <w:sz w:val="22"/>
          <w:szCs w:val="22"/>
        </w:rPr>
      </w:pPr>
      <w:r w:rsidRPr="001C6A12">
        <w:rPr>
          <w:rFonts w:asciiTheme="minorHAnsi" w:eastAsia="Arial" w:hAnsiTheme="minorHAnsi" w:cstheme="minorHAnsi"/>
          <w:b/>
          <w:color w:val="000000"/>
          <w:sz w:val="22"/>
          <w:szCs w:val="22"/>
        </w:rPr>
        <w:t> </w:t>
      </w:r>
    </w:p>
    <w:p w14:paraId="34771CFD" w14:textId="14201523" w:rsidR="001C6A12" w:rsidRDefault="001C6A12">
      <w:pPr>
        <w:pBdr>
          <w:top w:val="nil"/>
          <w:left w:val="nil"/>
          <w:bottom w:val="nil"/>
          <w:right w:val="nil"/>
          <w:between w:val="nil"/>
        </w:pBdr>
        <w:rPr>
          <w:rFonts w:asciiTheme="minorHAnsi" w:eastAsia="Arial" w:hAnsiTheme="minorHAnsi" w:cstheme="minorHAnsi"/>
          <w:b/>
          <w:color w:val="000000"/>
          <w:sz w:val="22"/>
          <w:szCs w:val="22"/>
        </w:rPr>
      </w:pPr>
      <w:r>
        <w:rPr>
          <w:rFonts w:asciiTheme="minorHAnsi" w:eastAsia="Arial" w:hAnsiTheme="minorHAnsi" w:cstheme="minorHAnsi"/>
          <w:b/>
          <w:color w:val="000000"/>
          <w:sz w:val="22"/>
          <w:szCs w:val="22"/>
        </w:rPr>
        <w:t>Definition</w:t>
      </w:r>
    </w:p>
    <w:p w14:paraId="00000003" w14:textId="202E8A29" w:rsidR="00A11DFE" w:rsidRPr="001C6A12" w:rsidRDefault="004B7CC1">
      <w:pPr>
        <w:pBdr>
          <w:top w:val="nil"/>
          <w:left w:val="nil"/>
          <w:bottom w:val="nil"/>
          <w:right w:val="nil"/>
          <w:between w:val="nil"/>
        </w:pBdr>
        <w:rPr>
          <w:rFonts w:asciiTheme="minorHAnsi" w:eastAsia="Arial" w:hAnsiTheme="minorHAnsi" w:cstheme="minorHAnsi"/>
          <w:sz w:val="22"/>
          <w:szCs w:val="22"/>
        </w:rPr>
      </w:pPr>
      <w:r w:rsidRPr="001C6A12">
        <w:rPr>
          <w:rFonts w:asciiTheme="minorHAnsi" w:eastAsia="Arial" w:hAnsiTheme="minorHAnsi" w:cstheme="minorHAnsi"/>
          <w:sz w:val="22"/>
          <w:szCs w:val="22"/>
        </w:rPr>
        <w:t>The Global Health Institute defines p</w:t>
      </w:r>
      <w:r w:rsidRPr="001C6A12">
        <w:rPr>
          <w:rFonts w:asciiTheme="minorHAnsi" w:eastAsia="Arial" w:hAnsiTheme="minorHAnsi" w:cstheme="minorHAnsi"/>
          <w:color w:val="000000"/>
          <w:sz w:val="22"/>
          <w:szCs w:val="22"/>
        </w:rPr>
        <w:t xml:space="preserve">ersonal wellness as </w:t>
      </w:r>
      <w:r w:rsidRPr="001C6A12">
        <w:rPr>
          <w:rFonts w:asciiTheme="minorHAnsi" w:eastAsia="Arial" w:hAnsiTheme="minorHAnsi" w:cstheme="minorHAnsi"/>
          <w:sz w:val="22"/>
          <w:szCs w:val="22"/>
        </w:rPr>
        <w:t>“the active pursuit of activities, choices and lifestyles that lead to a state of holistic health” (</w:t>
      </w:r>
      <w:r w:rsidRPr="001C6A12">
        <w:rPr>
          <w:rFonts w:asciiTheme="minorHAnsi" w:eastAsia="Arial" w:hAnsiTheme="minorHAnsi" w:cstheme="minorHAnsi"/>
          <w:b/>
          <w:color w:val="333333"/>
          <w:sz w:val="22"/>
          <w:szCs w:val="22"/>
          <w:highlight w:val="white"/>
        </w:rPr>
        <w:t>https://globalwellnessinstitute.org/what-is-wellness/).</w:t>
      </w:r>
      <w:r w:rsidRPr="001C6A12">
        <w:rPr>
          <w:rFonts w:asciiTheme="minorHAnsi" w:eastAsia="Arial" w:hAnsiTheme="minorHAnsi" w:cstheme="minorHAnsi"/>
          <w:color w:val="000000"/>
          <w:sz w:val="22"/>
          <w:szCs w:val="22"/>
        </w:rPr>
        <w:t xml:space="preserve"> </w:t>
      </w:r>
      <w:r w:rsidRPr="001C6A12">
        <w:rPr>
          <w:rFonts w:asciiTheme="minorHAnsi" w:eastAsia="Arial" w:hAnsiTheme="minorHAnsi" w:cstheme="minorHAnsi"/>
          <w:color w:val="000000"/>
          <w:sz w:val="22"/>
          <w:szCs w:val="22"/>
        </w:rPr>
        <w:t>This requires developing an evidence-based understanding of the factors that promote or negatively impact</w:t>
      </w:r>
      <w:r w:rsidRPr="001C6A12">
        <w:rPr>
          <w:rFonts w:asciiTheme="minorHAnsi" w:eastAsia="Arial" w:hAnsiTheme="minorHAnsi" w:cstheme="minorHAnsi"/>
          <w:sz w:val="22"/>
          <w:szCs w:val="22"/>
        </w:rPr>
        <w:t xml:space="preserve"> </w:t>
      </w:r>
      <w:r w:rsidRPr="001C6A12">
        <w:rPr>
          <w:rFonts w:asciiTheme="minorHAnsi" w:eastAsia="Arial" w:hAnsiTheme="minorHAnsi" w:cstheme="minorHAnsi"/>
          <w:color w:val="000000"/>
          <w:sz w:val="22"/>
          <w:szCs w:val="22"/>
        </w:rPr>
        <w:t>physical</w:t>
      </w:r>
      <w:r w:rsidRPr="001C6A12">
        <w:rPr>
          <w:rFonts w:asciiTheme="minorHAnsi" w:eastAsia="Arial" w:hAnsiTheme="minorHAnsi" w:cstheme="minorHAnsi"/>
          <w:sz w:val="22"/>
          <w:szCs w:val="22"/>
        </w:rPr>
        <w:t xml:space="preserve"> and psychosocial </w:t>
      </w:r>
      <w:r w:rsidRPr="001C6A12">
        <w:rPr>
          <w:rFonts w:asciiTheme="minorHAnsi" w:eastAsia="Arial" w:hAnsiTheme="minorHAnsi" w:cstheme="minorHAnsi"/>
          <w:color w:val="000000"/>
          <w:sz w:val="22"/>
          <w:szCs w:val="22"/>
        </w:rPr>
        <w:t>well-being, as well as the ability to assess one’s current state of physical and psychosocia</w:t>
      </w:r>
      <w:r w:rsidRPr="001C6A12">
        <w:rPr>
          <w:rFonts w:asciiTheme="minorHAnsi" w:eastAsia="Arial" w:hAnsiTheme="minorHAnsi" w:cstheme="minorHAnsi"/>
          <w:sz w:val="22"/>
          <w:szCs w:val="22"/>
        </w:rPr>
        <w:t xml:space="preserve">l </w:t>
      </w:r>
      <w:r w:rsidRPr="001C6A12">
        <w:rPr>
          <w:rFonts w:asciiTheme="minorHAnsi" w:eastAsia="Arial" w:hAnsiTheme="minorHAnsi" w:cstheme="minorHAnsi"/>
          <w:color w:val="000000"/>
          <w:sz w:val="22"/>
          <w:szCs w:val="22"/>
        </w:rPr>
        <w:t>well</w:t>
      </w:r>
      <w:r w:rsidRPr="001C6A12">
        <w:rPr>
          <w:rFonts w:asciiTheme="minorHAnsi" w:eastAsia="Arial" w:hAnsiTheme="minorHAnsi" w:cstheme="minorHAnsi"/>
          <w:sz w:val="22"/>
          <w:szCs w:val="22"/>
        </w:rPr>
        <w:t>ness</w:t>
      </w:r>
      <w:r w:rsidRPr="001C6A12">
        <w:rPr>
          <w:rFonts w:asciiTheme="minorHAnsi" w:eastAsia="Arial" w:hAnsiTheme="minorHAnsi" w:cstheme="minorHAnsi"/>
          <w:color w:val="000000"/>
          <w:sz w:val="22"/>
          <w:szCs w:val="22"/>
        </w:rPr>
        <w:t>, set goals for improv</w:t>
      </w:r>
      <w:r w:rsidRPr="001C6A12">
        <w:rPr>
          <w:rFonts w:asciiTheme="minorHAnsi" w:eastAsia="Arial" w:hAnsiTheme="minorHAnsi" w:cstheme="minorHAnsi"/>
          <w:color w:val="000000"/>
          <w:sz w:val="22"/>
          <w:szCs w:val="22"/>
        </w:rPr>
        <w:t xml:space="preserve">ing well-being, and implement a plan to achieve those goals. </w:t>
      </w:r>
      <w:r w:rsidRPr="001C6A12">
        <w:rPr>
          <w:rFonts w:asciiTheme="minorHAnsi" w:eastAsia="Arial" w:hAnsiTheme="minorHAnsi" w:cstheme="minorHAnsi"/>
          <w:sz w:val="22"/>
          <w:szCs w:val="22"/>
        </w:rPr>
        <w:t>Personal wellness is multidimensional and includes physical, social, intellectual, emotional, environmental, financial and spiritual well-being.</w:t>
      </w:r>
    </w:p>
    <w:p w14:paraId="00000004" w14:textId="77777777" w:rsidR="00A11DFE" w:rsidRPr="001C6A12" w:rsidRDefault="00A11DFE">
      <w:pPr>
        <w:pBdr>
          <w:top w:val="nil"/>
          <w:left w:val="nil"/>
          <w:bottom w:val="nil"/>
          <w:right w:val="nil"/>
          <w:between w:val="nil"/>
        </w:pBdr>
        <w:rPr>
          <w:rFonts w:asciiTheme="minorHAnsi" w:eastAsia="Times New Roman" w:hAnsiTheme="minorHAnsi" w:cstheme="minorHAnsi"/>
          <w:color w:val="000000"/>
          <w:sz w:val="22"/>
          <w:szCs w:val="22"/>
        </w:rPr>
      </w:pPr>
    </w:p>
    <w:p w14:paraId="00000005" w14:textId="77777777" w:rsidR="00A11DFE" w:rsidRPr="001C6A12" w:rsidRDefault="004B7CC1">
      <w:pPr>
        <w:pBdr>
          <w:top w:val="nil"/>
          <w:left w:val="nil"/>
          <w:bottom w:val="nil"/>
          <w:right w:val="nil"/>
          <w:between w:val="nil"/>
        </w:pBdr>
        <w:rPr>
          <w:rFonts w:asciiTheme="minorHAnsi" w:eastAsia="Times New Roman" w:hAnsiTheme="minorHAnsi" w:cstheme="minorHAnsi"/>
          <w:color w:val="000000"/>
          <w:sz w:val="22"/>
          <w:szCs w:val="22"/>
        </w:rPr>
      </w:pPr>
      <w:r w:rsidRPr="001C6A12">
        <w:rPr>
          <w:rFonts w:asciiTheme="minorHAnsi" w:eastAsia="Arial" w:hAnsiTheme="minorHAnsi" w:cstheme="minorHAnsi"/>
          <w:b/>
          <w:color w:val="000000"/>
          <w:sz w:val="22"/>
          <w:szCs w:val="22"/>
        </w:rPr>
        <w:t>Rationale and Intent</w:t>
      </w:r>
    </w:p>
    <w:p w14:paraId="00000006" w14:textId="65352AD1" w:rsidR="00A11DFE" w:rsidRPr="001C6A12" w:rsidRDefault="004B7CC1">
      <w:pPr>
        <w:pBdr>
          <w:top w:val="nil"/>
          <w:left w:val="nil"/>
          <w:bottom w:val="nil"/>
          <w:right w:val="nil"/>
          <w:between w:val="nil"/>
        </w:pBdr>
        <w:rPr>
          <w:rFonts w:asciiTheme="minorHAnsi" w:eastAsia="Arial" w:hAnsiTheme="minorHAnsi" w:cstheme="minorHAnsi"/>
          <w:color w:val="202124"/>
          <w:sz w:val="22"/>
          <w:szCs w:val="22"/>
          <w:highlight w:val="white"/>
        </w:rPr>
      </w:pPr>
      <w:r w:rsidRPr="001C6A12">
        <w:rPr>
          <w:rFonts w:asciiTheme="minorHAnsi" w:eastAsia="Arial" w:hAnsiTheme="minorHAnsi" w:cstheme="minorHAnsi"/>
          <w:sz w:val="22"/>
          <w:szCs w:val="22"/>
        </w:rPr>
        <w:t xml:space="preserve">University students are highly vulnerable to physical weight </w:t>
      </w:r>
      <w:proofErr w:type="spellStart"/>
      <w:r w:rsidRPr="001C6A12">
        <w:rPr>
          <w:rFonts w:asciiTheme="minorHAnsi" w:eastAsia="Arial" w:hAnsiTheme="minorHAnsi" w:cstheme="minorHAnsi"/>
          <w:sz w:val="22"/>
          <w:szCs w:val="22"/>
        </w:rPr>
        <w:t>gain</w:t>
      </w:r>
      <w:r>
        <w:rPr>
          <w:rFonts w:asciiTheme="minorHAnsi" w:eastAsia="Arial" w:hAnsiTheme="minorHAnsi" w:cstheme="minorHAnsi"/>
          <w:sz w:val="22"/>
          <w:szCs w:val="22"/>
          <w:vertAlign w:val="superscript"/>
        </w:rPr>
        <w:t>i</w:t>
      </w:r>
      <w:proofErr w:type="spellEnd"/>
      <w:r w:rsidR="001C6A12">
        <w:rPr>
          <w:rFonts w:asciiTheme="minorHAnsi" w:eastAsia="Arial" w:hAnsiTheme="minorHAnsi" w:cstheme="minorHAnsi"/>
          <w:sz w:val="22"/>
          <w:szCs w:val="22"/>
        </w:rPr>
        <w:t xml:space="preserve"> </w:t>
      </w:r>
      <w:r w:rsidRPr="001C6A12">
        <w:rPr>
          <w:rFonts w:asciiTheme="minorHAnsi" w:eastAsia="Arial" w:hAnsiTheme="minorHAnsi" w:cstheme="minorHAnsi"/>
          <w:sz w:val="22"/>
          <w:szCs w:val="22"/>
        </w:rPr>
        <w:t xml:space="preserve">and emotional </w:t>
      </w:r>
      <w:proofErr w:type="spellStart"/>
      <w:r w:rsidRPr="001C6A12">
        <w:rPr>
          <w:rFonts w:asciiTheme="minorHAnsi" w:eastAsia="Arial" w:hAnsiTheme="minorHAnsi" w:cstheme="minorHAnsi"/>
          <w:sz w:val="22"/>
          <w:szCs w:val="22"/>
        </w:rPr>
        <w:t>distress</w:t>
      </w:r>
      <w:r>
        <w:rPr>
          <w:rFonts w:asciiTheme="minorHAnsi" w:eastAsia="Arial" w:hAnsiTheme="minorHAnsi" w:cstheme="minorHAnsi"/>
          <w:sz w:val="22"/>
          <w:szCs w:val="22"/>
          <w:vertAlign w:val="superscript"/>
        </w:rPr>
        <w:t>ii</w:t>
      </w:r>
      <w:proofErr w:type="spellEnd"/>
      <w:r w:rsidRPr="001C6A12">
        <w:rPr>
          <w:rFonts w:asciiTheme="minorHAnsi" w:eastAsia="Arial" w:hAnsiTheme="minorHAnsi" w:cstheme="minorHAnsi"/>
          <w:sz w:val="22"/>
          <w:szCs w:val="22"/>
        </w:rPr>
        <w:t xml:space="preserve"> as they face a new and demanding environment that often challenges their ability to maintain a positive state of wellness. Compounding these challenges is that</w:t>
      </w:r>
      <w:r w:rsidRPr="001C6A12">
        <w:rPr>
          <w:rFonts w:asciiTheme="minorHAnsi" w:eastAsia="Arial" w:hAnsiTheme="minorHAnsi" w:cstheme="minorHAnsi"/>
          <w:sz w:val="22"/>
          <w:szCs w:val="22"/>
        </w:rPr>
        <w:t xml:space="preserve"> many college students lack the knowledge or tools to improve their overall </w:t>
      </w:r>
      <w:proofErr w:type="spellStart"/>
      <w:r w:rsidRPr="001C6A12">
        <w:rPr>
          <w:rFonts w:asciiTheme="minorHAnsi" w:eastAsia="Arial" w:hAnsiTheme="minorHAnsi" w:cstheme="minorHAnsi"/>
          <w:sz w:val="22"/>
          <w:szCs w:val="22"/>
        </w:rPr>
        <w:t>wellness</w:t>
      </w:r>
      <w:r w:rsidRPr="004B7CC1">
        <w:rPr>
          <w:rFonts w:asciiTheme="minorHAnsi" w:eastAsia="Arial" w:hAnsiTheme="minorHAnsi" w:cstheme="minorHAnsi"/>
          <w:sz w:val="22"/>
          <w:szCs w:val="22"/>
          <w:vertAlign w:val="superscript"/>
        </w:rPr>
        <w:t>iii</w:t>
      </w:r>
      <w:proofErr w:type="spellEnd"/>
      <w:r w:rsidRPr="001C6A12">
        <w:rPr>
          <w:rFonts w:asciiTheme="minorHAnsi" w:eastAsia="Arial" w:hAnsiTheme="minorHAnsi" w:cstheme="minorHAnsi"/>
          <w:sz w:val="22"/>
          <w:szCs w:val="22"/>
        </w:rPr>
        <w:t xml:space="preserve">. As a result, Americans have a high prevalence of physical and emotional health issues into adulthood that can negatively impact personal success and happiness. </w:t>
      </w:r>
      <w:r w:rsidRPr="001C6A12">
        <w:rPr>
          <w:rFonts w:asciiTheme="minorHAnsi" w:eastAsia="Arial" w:hAnsiTheme="minorHAnsi" w:cstheme="minorHAnsi"/>
          <w:color w:val="000000"/>
          <w:sz w:val="22"/>
          <w:szCs w:val="22"/>
        </w:rPr>
        <w:t>Some s</w:t>
      </w:r>
      <w:r w:rsidRPr="001C6A12">
        <w:rPr>
          <w:rFonts w:asciiTheme="minorHAnsi" w:eastAsia="Arial" w:hAnsiTheme="minorHAnsi" w:cstheme="minorHAnsi"/>
          <w:color w:val="000000"/>
          <w:sz w:val="22"/>
          <w:szCs w:val="22"/>
        </w:rPr>
        <w:t>tressors</w:t>
      </w:r>
      <w:r w:rsidRPr="001C6A12">
        <w:rPr>
          <w:rFonts w:asciiTheme="minorHAnsi" w:eastAsia="Arial" w:hAnsiTheme="minorHAnsi" w:cstheme="minorHAnsi"/>
          <w:sz w:val="22"/>
          <w:szCs w:val="22"/>
        </w:rPr>
        <w:t xml:space="preserve"> include financial issues, difficulty accessing and utilizing nutritional food, barriers to engaging in physical activity, and poor sleep patterns. </w:t>
      </w:r>
      <w:r w:rsidRPr="001C6A12">
        <w:rPr>
          <w:rFonts w:asciiTheme="minorHAnsi" w:eastAsia="Arial" w:hAnsiTheme="minorHAnsi" w:cstheme="minorHAnsi"/>
          <w:color w:val="000000"/>
          <w:sz w:val="22"/>
          <w:szCs w:val="22"/>
        </w:rPr>
        <w:t>Additionally,</w:t>
      </w:r>
      <w:r w:rsidRPr="001C6A12">
        <w:rPr>
          <w:rFonts w:asciiTheme="minorHAnsi" w:eastAsia="Arial" w:hAnsiTheme="minorHAnsi" w:cstheme="minorHAnsi"/>
          <w:color w:val="000000"/>
          <w:sz w:val="22"/>
          <w:szCs w:val="22"/>
        </w:rPr>
        <w:t xml:space="preserve"> </w:t>
      </w:r>
      <w:r w:rsidRPr="001C6A12">
        <w:rPr>
          <w:rFonts w:asciiTheme="minorHAnsi" w:eastAsia="Arial" w:hAnsiTheme="minorHAnsi" w:cstheme="minorHAnsi"/>
          <w:sz w:val="22"/>
          <w:szCs w:val="22"/>
        </w:rPr>
        <w:t>poor dietary choices, increased caloric intake, lack of physical activity and exercise</w:t>
      </w:r>
      <w:r w:rsidRPr="001C6A12">
        <w:rPr>
          <w:rFonts w:asciiTheme="minorHAnsi" w:eastAsia="Arial" w:hAnsiTheme="minorHAnsi" w:cstheme="minorHAnsi"/>
          <w:sz w:val="22"/>
          <w:szCs w:val="22"/>
        </w:rPr>
        <w:t xml:space="preserve">, and high stress are common factors that contribute to compromised physical and psychosocial wellness in college students, leading to increased risk for chronic diseases such as heart disease, diabetes, obesity, and a variety of mental health issues. </w:t>
      </w:r>
      <w:r w:rsidRPr="001C6A12">
        <w:rPr>
          <w:rFonts w:asciiTheme="minorHAnsi" w:eastAsia="Arial" w:hAnsiTheme="minorHAnsi" w:cstheme="minorHAnsi"/>
          <w:color w:val="000000"/>
          <w:sz w:val="22"/>
          <w:szCs w:val="22"/>
        </w:rPr>
        <w:t>Data</w:t>
      </w:r>
      <w:r w:rsidRPr="001C6A12">
        <w:rPr>
          <w:rFonts w:asciiTheme="minorHAnsi" w:eastAsia="Arial" w:hAnsiTheme="minorHAnsi" w:cstheme="minorHAnsi"/>
          <w:color w:val="000000"/>
          <w:sz w:val="22"/>
          <w:szCs w:val="22"/>
        </w:rPr>
        <w:t xml:space="preserve"> support that wellness courses can lead to improved long-term health outcomes</w:t>
      </w:r>
      <w:r w:rsidRPr="001C6A12">
        <w:rPr>
          <w:rFonts w:asciiTheme="minorHAnsi" w:eastAsia="Arial" w:hAnsiTheme="minorHAnsi" w:cstheme="minorHAnsi"/>
          <w:sz w:val="22"/>
          <w:szCs w:val="22"/>
        </w:rPr>
        <w:t xml:space="preserve"> </w:t>
      </w:r>
      <w:r w:rsidRPr="001C6A12">
        <w:rPr>
          <w:rFonts w:asciiTheme="minorHAnsi" w:eastAsia="Arial" w:hAnsiTheme="minorHAnsi" w:cstheme="minorHAnsi"/>
          <w:color w:val="000000"/>
          <w:sz w:val="22"/>
          <w:szCs w:val="22"/>
        </w:rPr>
        <w:t>as well as increased academic success and retention. </w:t>
      </w:r>
      <w:r w:rsidRPr="001C6A12">
        <w:rPr>
          <w:rFonts w:asciiTheme="minorHAnsi" w:eastAsia="Arial" w:hAnsiTheme="minorHAnsi" w:cstheme="minorHAnsi"/>
          <w:sz w:val="22"/>
          <w:szCs w:val="22"/>
        </w:rPr>
        <w:t>At the heart of these scientifically proven programs is providing students the knowledge and skill set to develop a physicall</w:t>
      </w:r>
      <w:r w:rsidRPr="001C6A12">
        <w:rPr>
          <w:rFonts w:asciiTheme="minorHAnsi" w:eastAsia="Arial" w:hAnsiTheme="minorHAnsi" w:cstheme="minorHAnsi"/>
          <w:sz w:val="22"/>
          <w:szCs w:val="22"/>
        </w:rPr>
        <w:t xml:space="preserve">y active lifestyle to reduce risk of coronary artery disease, diabetes, and other chronic diseases as well as practices that promote mental health. </w:t>
      </w:r>
    </w:p>
    <w:p w14:paraId="00000007" w14:textId="77777777" w:rsidR="00A11DFE" w:rsidRPr="001C6A12" w:rsidRDefault="00A11DFE">
      <w:pPr>
        <w:pBdr>
          <w:top w:val="nil"/>
          <w:left w:val="nil"/>
          <w:bottom w:val="nil"/>
          <w:right w:val="nil"/>
          <w:between w:val="nil"/>
        </w:pBdr>
        <w:rPr>
          <w:rFonts w:asciiTheme="minorHAnsi" w:eastAsia="Arial" w:hAnsiTheme="minorHAnsi" w:cstheme="minorHAnsi"/>
          <w:sz w:val="22"/>
          <w:szCs w:val="22"/>
        </w:rPr>
      </w:pPr>
    </w:p>
    <w:p w14:paraId="00000008" w14:textId="77777777" w:rsidR="00A11DFE" w:rsidRPr="001C6A12" w:rsidRDefault="004B7CC1">
      <w:pPr>
        <w:pBdr>
          <w:top w:val="nil"/>
          <w:left w:val="nil"/>
          <w:bottom w:val="nil"/>
          <w:right w:val="nil"/>
          <w:between w:val="nil"/>
        </w:pBdr>
        <w:rPr>
          <w:rFonts w:asciiTheme="minorHAnsi" w:eastAsia="Times New Roman" w:hAnsiTheme="minorHAnsi" w:cstheme="minorHAnsi"/>
          <w:color w:val="000000"/>
          <w:sz w:val="22"/>
          <w:szCs w:val="22"/>
        </w:rPr>
      </w:pPr>
      <w:r w:rsidRPr="001C6A12">
        <w:rPr>
          <w:rFonts w:asciiTheme="minorHAnsi" w:eastAsia="Arial" w:hAnsiTheme="minorHAnsi" w:cstheme="minorHAnsi"/>
          <w:b/>
          <w:color w:val="000000"/>
          <w:sz w:val="22"/>
          <w:szCs w:val="22"/>
        </w:rPr>
        <w:t>Goal</w:t>
      </w:r>
    </w:p>
    <w:p w14:paraId="00000009" w14:textId="77777777" w:rsidR="00A11DFE" w:rsidRPr="001C6A12" w:rsidRDefault="004B7CC1">
      <w:pPr>
        <w:rPr>
          <w:rFonts w:asciiTheme="minorHAnsi" w:eastAsia="Arial" w:hAnsiTheme="minorHAnsi" w:cstheme="minorHAnsi"/>
          <w:color w:val="000000"/>
          <w:sz w:val="22"/>
          <w:szCs w:val="22"/>
        </w:rPr>
      </w:pPr>
      <w:r w:rsidRPr="001C6A12">
        <w:rPr>
          <w:rFonts w:asciiTheme="minorHAnsi" w:eastAsia="Arial" w:hAnsiTheme="minorHAnsi" w:cstheme="minorHAnsi"/>
          <w:sz w:val="22"/>
          <w:szCs w:val="22"/>
        </w:rPr>
        <w:t>Fitchburg State University students will develop effective strategies to enhance personal wellness by</w:t>
      </w:r>
      <w:r w:rsidRPr="001C6A12">
        <w:rPr>
          <w:rFonts w:asciiTheme="minorHAnsi" w:eastAsia="Arial" w:hAnsiTheme="minorHAnsi" w:cstheme="minorHAnsi"/>
          <w:sz w:val="22"/>
          <w:szCs w:val="22"/>
        </w:rPr>
        <w:t xml:space="preserve"> applying physical, nutritional and behavioral strategies to improve the quality or state of being healthy in body and mind.</w:t>
      </w:r>
    </w:p>
    <w:p w14:paraId="0000000A" w14:textId="77777777" w:rsidR="00A11DFE" w:rsidRPr="001C6A12" w:rsidRDefault="004B7CC1">
      <w:pPr>
        <w:pBdr>
          <w:top w:val="nil"/>
          <w:left w:val="nil"/>
          <w:bottom w:val="nil"/>
          <w:right w:val="nil"/>
          <w:between w:val="nil"/>
        </w:pBdr>
        <w:rPr>
          <w:rFonts w:asciiTheme="minorHAnsi" w:eastAsia="Arial" w:hAnsiTheme="minorHAnsi" w:cstheme="minorHAnsi"/>
          <w:color w:val="000000"/>
          <w:sz w:val="22"/>
          <w:szCs w:val="22"/>
        </w:rPr>
      </w:pPr>
      <w:r w:rsidRPr="001C6A12">
        <w:rPr>
          <w:rFonts w:asciiTheme="minorHAnsi" w:eastAsia="Arial" w:hAnsiTheme="minorHAnsi" w:cstheme="minorHAnsi"/>
          <w:color w:val="000000"/>
          <w:sz w:val="22"/>
          <w:szCs w:val="22"/>
        </w:rPr>
        <w:t> </w:t>
      </w:r>
    </w:p>
    <w:p w14:paraId="0000000B" w14:textId="77777777" w:rsidR="00A11DFE" w:rsidRPr="001C6A12" w:rsidRDefault="004B7CC1">
      <w:pPr>
        <w:pBdr>
          <w:top w:val="nil"/>
          <w:left w:val="nil"/>
          <w:bottom w:val="nil"/>
          <w:right w:val="nil"/>
          <w:between w:val="nil"/>
        </w:pBdr>
        <w:rPr>
          <w:rFonts w:asciiTheme="minorHAnsi" w:eastAsia="Times New Roman" w:hAnsiTheme="minorHAnsi" w:cstheme="minorHAnsi"/>
          <w:color w:val="000000"/>
          <w:sz w:val="22"/>
          <w:szCs w:val="22"/>
        </w:rPr>
      </w:pPr>
      <w:r w:rsidRPr="001C6A12">
        <w:rPr>
          <w:rFonts w:asciiTheme="minorHAnsi" w:eastAsia="Arial" w:hAnsiTheme="minorHAnsi" w:cstheme="minorHAnsi"/>
          <w:b/>
          <w:color w:val="000000"/>
          <w:sz w:val="22"/>
          <w:szCs w:val="22"/>
        </w:rPr>
        <w:t>Course Objectives</w:t>
      </w:r>
    </w:p>
    <w:p w14:paraId="0000000D" w14:textId="112ADB91" w:rsidR="00A11DFE" w:rsidRPr="001C6A12" w:rsidRDefault="004B7CC1">
      <w:pPr>
        <w:pBdr>
          <w:top w:val="nil"/>
          <w:left w:val="nil"/>
          <w:bottom w:val="nil"/>
          <w:right w:val="nil"/>
          <w:between w:val="nil"/>
        </w:pBdr>
        <w:rPr>
          <w:rFonts w:asciiTheme="minorHAnsi" w:eastAsia="Arial" w:hAnsiTheme="minorHAnsi" w:cstheme="minorHAnsi"/>
          <w:color w:val="000000"/>
          <w:sz w:val="22"/>
          <w:szCs w:val="22"/>
        </w:rPr>
      </w:pPr>
      <w:r w:rsidRPr="001C6A12">
        <w:rPr>
          <w:rFonts w:asciiTheme="minorHAnsi" w:eastAsia="Arial" w:hAnsiTheme="minorHAnsi" w:cstheme="minorHAnsi"/>
          <w:color w:val="000000"/>
          <w:sz w:val="22"/>
          <w:szCs w:val="22"/>
        </w:rPr>
        <w:t>Courses seeking the personal wellness designation should help students acquire knowledge and practical skills a</w:t>
      </w:r>
      <w:r w:rsidRPr="001C6A12">
        <w:rPr>
          <w:rFonts w:asciiTheme="minorHAnsi" w:eastAsia="Arial" w:hAnsiTheme="minorHAnsi" w:cstheme="minorHAnsi"/>
          <w:color w:val="000000"/>
          <w:sz w:val="22"/>
          <w:szCs w:val="22"/>
        </w:rPr>
        <w:t>imed a</w:t>
      </w:r>
      <w:r w:rsidRPr="001C6A12">
        <w:rPr>
          <w:rFonts w:asciiTheme="minorHAnsi" w:eastAsia="Arial" w:hAnsiTheme="minorHAnsi" w:cstheme="minorHAnsi"/>
          <w:sz w:val="22"/>
          <w:szCs w:val="22"/>
        </w:rPr>
        <w:t>t e</w:t>
      </w:r>
      <w:r w:rsidRPr="001C6A12">
        <w:rPr>
          <w:rFonts w:asciiTheme="minorHAnsi" w:eastAsia="Arial" w:hAnsiTheme="minorHAnsi" w:cstheme="minorHAnsi"/>
          <w:color w:val="000000"/>
          <w:sz w:val="22"/>
          <w:szCs w:val="22"/>
        </w:rPr>
        <w:t>nhancing personal wellness. To this end, such courses</w:t>
      </w:r>
      <w:r w:rsidRPr="001C6A12">
        <w:rPr>
          <w:rFonts w:asciiTheme="minorHAnsi" w:eastAsia="Arial" w:hAnsiTheme="minorHAnsi" w:cstheme="minorHAnsi"/>
          <w:color w:val="000000"/>
          <w:sz w:val="22"/>
          <w:szCs w:val="22"/>
          <w:highlight w:val="white"/>
        </w:rPr>
        <w:t xml:space="preserve"> must </w:t>
      </w:r>
      <w:r w:rsidRPr="001C6A12">
        <w:rPr>
          <w:rFonts w:asciiTheme="minorHAnsi" w:eastAsia="Arial" w:hAnsiTheme="minorHAnsi" w:cstheme="minorHAnsi"/>
          <w:color w:val="000000"/>
          <w:sz w:val="22"/>
          <w:szCs w:val="22"/>
        </w:rPr>
        <w:t>address</w:t>
      </w:r>
      <w:r w:rsidRPr="001C6A12">
        <w:rPr>
          <w:rFonts w:asciiTheme="minorHAnsi" w:eastAsia="Arial" w:hAnsiTheme="minorHAnsi" w:cstheme="minorHAnsi"/>
          <w:color w:val="FF0000"/>
          <w:sz w:val="22"/>
          <w:szCs w:val="22"/>
        </w:rPr>
        <w:t xml:space="preserve"> </w:t>
      </w:r>
      <w:r w:rsidRPr="001C6A12">
        <w:rPr>
          <w:rFonts w:asciiTheme="minorHAnsi" w:eastAsia="Arial" w:hAnsiTheme="minorHAnsi" w:cstheme="minorHAnsi"/>
          <w:color w:val="000000"/>
          <w:sz w:val="22"/>
          <w:szCs w:val="22"/>
        </w:rPr>
        <w:t>the essence of objectives 1-</w:t>
      </w:r>
      <w:r w:rsidRPr="001C6A12">
        <w:rPr>
          <w:rFonts w:asciiTheme="minorHAnsi" w:eastAsia="Arial" w:hAnsiTheme="minorHAnsi" w:cstheme="minorHAnsi"/>
          <w:sz w:val="22"/>
          <w:szCs w:val="22"/>
        </w:rPr>
        <w:t>5</w:t>
      </w:r>
      <w:r w:rsidRPr="001C6A12">
        <w:rPr>
          <w:rFonts w:asciiTheme="minorHAnsi" w:eastAsia="Arial" w:hAnsiTheme="minorHAnsi" w:cstheme="minorHAnsi"/>
          <w:color w:val="000000"/>
          <w:sz w:val="22"/>
          <w:szCs w:val="22"/>
        </w:rPr>
        <w:t xml:space="preserve"> listed below. </w:t>
      </w:r>
      <w:r w:rsidRPr="001C6A12">
        <w:rPr>
          <w:rFonts w:asciiTheme="minorHAnsi" w:eastAsia="Arial" w:hAnsiTheme="minorHAnsi" w:cstheme="minorHAnsi"/>
          <w:sz w:val="22"/>
          <w:szCs w:val="22"/>
        </w:rPr>
        <w:t>Courses may emphasize one area of wellness but must include, and integrate, the five objectives.</w:t>
      </w:r>
      <w:r w:rsidRPr="001C6A12">
        <w:rPr>
          <w:rFonts w:asciiTheme="minorHAnsi" w:eastAsia="Arial" w:hAnsiTheme="minorHAnsi" w:cstheme="minorHAnsi"/>
          <w:color w:val="000000"/>
          <w:sz w:val="22"/>
          <w:szCs w:val="22"/>
        </w:rPr>
        <w:t> </w:t>
      </w:r>
    </w:p>
    <w:p w14:paraId="0000000E" w14:textId="77777777" w:rsidR="00A11DFE" w:rsidRPr="001C6A12" w:rsidRDefault="004B7CC1">
      <w:pPr>
        <w:numPr>
          <w:ilvl w:val="0"/>
          <w:numId w:val="1"/>
        </w:numPr>
        <w:spacing w:line="259" w:lineRule="auto"/>
        <w:rPr>
          <w:rFonts w:asciiTheme="minorHAnsi" w:hAnsiTheme="minorHAnsi" w:cstheme="minorHAnsi"/>
          <w:sz w:val="22"/>
          <w:szCs w:val="22"/>
        </w:rPr>
      </w:pPr>
      <w:r w:rsidRPr="001C6A12">
        <w:rPr>
          <w:rFonts w:asciiTheme="minorHAnsi" w:eastAsia="Arial" w:hAnsiTheme="minorHAnsi" w:cstheme="minorHAnsi"/>
          <w:sz w:val="22"/>
          <w:szCs w:val="22"/>
        </w:rPr>
        <w:t>Understand the benefits of physical activity</w:t>
      </w:r>
      <w:r w:rsidRPr="001C6A12">
        <w:rPr>
          <w:rFonts w:asciiTheme="minorHAnsi" w:eastAsia="Arial" w:hAnsiTheme="minorHAnsi" w:cstheme="minorHAnsi"/>
          <w:b/>
          <w:color w:val="FF0000"/>
          <w:sz w:val="22"/>
          <w:szCs w:val="22"/>
        </w:rPr>
        <w:t xml:space="preserve"> </w:t>
      </w:r>
      <w:r w:rsidRPr="001C6A12">
        <w:rPr>
          <w:rFonts w:asciiTheme="minorHAnsi" w:eastAsia="Arial" w:hAnsiTheme="minorHAnsi" w:cstheme="minorHAnsi"/>
          <w:sz w:val="22"/>
          <w:szCs w:val="22"/>
        </w:rPr>
        <w:t>and exercise, as well as proven (evidence-based) strategies to improve personal physical activity habits</w:t>
      </w:r>
    </w:p>
    <w:p w14:paraId="0000000F" w14:textId="77777777" w:rsidR="00A11DFE" w:rsidRPr="001C6A12" w:rsidRDefault="004B7CC1">
      <w:pPr>
        <w:numPr>
          <w:ilvl w:val="0"/>
          <w:numId w:val="1"/>
        </w:numPr>
        <w:spacing w:line="259" w:lineRule="auto"/>
        <w:rPr>
          <w:rFonts w:asciiTheme="minorHAnsi" w:eastAsia="Arial" w:hAnsiTheme="minorHAnsi" w:cstheme="minorHAnsi"/>
          <w:sz w:val="22"/>
          <w:szCs w:val="22"/>
        </w:rPr>
      </w:pPr>
      <w:r w:rsidRPr="001C6A12">
        <w:rPr>
          <w:rFonts w:asciiTheme="minorHAnsi" w:eastAsia="Arial" w:hAnsiTheme="minorHAnsi" w:cstheme="minorHAnsi"/>
          <w:sz w:val="22"/>
          <w:szCs w:val="22"/>
        </w:rPr>
        <w:t>Understand healthy nutritional practices and the role of diet in health and disease with the intent to imp</w:t>
      </w:r>
      <w:r w:rsidRPr="001C6A12">
        <w:rPr>
          <w:rFonts w:asciiTheme="minorHAnsi" w:eastAsia="Arial" w:hAnsiTheme="minorHAnsi" w:cstheme="minorHAnsi"/>
          <w:sz w:val="22"/>
          <w:szCs w:val="22"/>
        </w:rPr>
        <w:t>rove dietary choices</w:t>
      </w:r>
    </w:p>
    <w:p w14:paraId="00000010" w14:textId="77777777" w:rsidR="00A11DFE" w:rsidRPr="001C6A12" w:rsidRDefault="004B7CC1">
      <w:pPr>
        <w:numPr>
          <w:ilvl w:val="0"/>
          <w:numId w:val="1"/>
        </w:numPr>
        <w:spacing w:line="259" w:lineRule="auto"/>
        <w:rPr>
          <w:rFonts w:asciiTheme="minorHAnsi" w:eastAsia="Arial" w:hAnsiTheme="minorHAnsi" w:cstheme="minorHAnsi"/>
          <w:sz w:val="22"/>
          <w:szCs w:val="22"/>
        </w:rPr>
      </w:pPr>
      <w:r w:rsidRPr="001C6A12">
        <w:rPr>
          <w:rFonts w:asciiTheme="minorHAnsi" w:eastAsia="Arial" w:hAnsiTheme="minorHAnsi" w:cstheme="minorHAnsi"/>
          <w:sz w:val="22"/>
          <w:szCs w:val="22"/>
        </w:rPr>
        <w:t>Understand factors that promote or detract from psychosocial wellness. This includes, but is not limited to: identifying cognitive biases, identifying causes and effects of stress as well as effective strategies for managing stress; id</w:t>
      </w:r>
      <w:r w:rsidRPr="001C6A12">
        <w:rPr>
          <w:rFonts w:asciiTheme="minorHAnsi" w:eastAsia="Arial" w:hAnsiTheme="minorHAnsi" w:cstheme="minorHAnsi"/>
          <w:sz w:val="22"/>
          <w:szCs w:val="22"/>
        </w:rPr>
        <w:t xml:space="preserve">entifying effective coping skills; understanding the importance of healthy relationships to social and emotional health; practicing mindfulness and gratitude </w:t>
      </w:r>
    </w:p>
    <w:p w14:paraId="00000011" w14:textId="77777777" w:rsidR="00A11DFE" w:rsidRPr="001C6A12" w:rsidRDefault="004B7CC1">
      <w:pPr>
        <w:numPr>
          <w:ilvl w:val="0"/>
          <w:numId w:val="1"/>
        </w:numPr>
        <w:pBdr>
          <w:top w:val="nil"/>
          <w:left w:val="nil"/>
          <w:bottom w:val="nil"/>
          <w:right w:val="nil"/>
          <w:between w:val="nil"/>
        </w:pBdr>
        <w:rPr>
          <w:rFonts w:asciiTheme="minorHAnsi" w:eastAsia="Arial" w:hAnsiTheme="minorHAnsi" w:cstheme="minorHAnsi"/>
          <w:color w:val="000000"/>
          <w:sz w:val="22"/>
          <w:szCs w:val="22"/>
        </w:rPr>
      </w:pPr>
      <w:r w:rsidRPr="001C6A12">
        <w:rPr>
          <w:rFonts w:asciiTheme="minorHAnsi" w:eastAsia="Arial" w:hAnsiTheme="minorHAnsi" w:cstheme="minorHAnsi"/>
          <w:color w:val="000000"/>
          <w:sz w:val="22"/>
          <w:szCs w:val="22"/>
        </w:rPr>
        <w:t>Critically analyze health and wellness claims in order to make info</w:t>
      </w:r>
      <w:r w:rsidRPr="001C6A12">
        <w:rPr>
          <w:rFonts w:asciiTheme="minorHAnsi" w:eastAsia="Arial" w:hAnsiTheme="minorHAnsi" w:cstheme="minorHAnsi"/>
          <w:color w:val="000000"/>
          <w:sz w:val="22"/>
          <w:szCs w:val="22"/>
        </w:rPr>
        <w:t>rmed lifestyle choices.</w:t>
      </w:r>
    </w:p>
    <w:p w14:paraId="00000012" w14:textId="77777777" w:rsidR="00A11DFE" w:rsidRPr="001C6A12" w:rsidRDefault="004B7CC1">
      <w:pPr>
        <w:numPr>
          <w:ilvl w:val="0"/>
          <w:numId w:val="1"/>
        </w:numPr>
        <w:pBdr>
          <w:top w:val="nil"/>
          <w:left w:val="nil"/>
          <w:bottom w:val="nil"/>
          <w:right w:val="nil"/>
          <w:between w:val="nil"/>
        </w:pBdr>
        <w:rPr>
          <w:rFonts w:asciiTheme="minorHAnsi" w:eastAsia="Arial" w:hAnsiTheme="minorHAnsi" w:cstheme="minorHAnsi"/>
          <w:color w:val="000000"/>
          <w:sz w:val="22"/>
          <w:szCs w:val="22"/>
        </w:rPr>
      </w:pPr>
      <w:r w:rsidRPr="001C6A12">
        <w:rPr>
          <w:rFonts w:asciiTheme="minorHAnsi" w:eastAsia="Arial" w:hAnsiTheme="minorHAnsi" w:cstheme="minorHAnsi"/>
          <w:color w:val="000000"/>
          <w:sz w:val="22"/>
          <w:szCs w:val="22"/>
        </w:rPr>
        <w:t xml:space="preserve">Assess one’s current state of </w:t>
      </w:r>
      <w:r w:rsidRPr="001C6A12">
        <w:rPr>
          <w:rFonts w:asciiTheme="minorHAnsi" w:eastAsia="Arial" w:hAnsiTheme="minorHAnsi" w:cstheme="minorHAnsi"/>
          <w:sz w:val="22"/>
          <w:szCs w:val="22"/>
        </w:rPr>
        <w:t>personal wellness</w:t>
      </w:r>
      <w:r w:rsidRPr="001C6A12">
        <w:rPr>
          <w:rFonts w:asciiTheme="minorHAnsi" w:eastAsia="Arial" w:hAnsiTheme="minorHAnsi" w:cstheme="minorHAnsi"/>
          <w:color w:val="000000"/>
          <w:sz w:val="22"/>
          <w:szCs w:val="22"/>
        </w:rPr>
        <w:t xml:space="preserve">, including analyzing </w:t>
      </w:r>
      <w:r w:rsidRPr="001C6A12">
        <w:rPr>
          <w:rFonts w:asciiTheme="minorHAnsi" w:eastAsia="Arial" w:hAnsiTheme="minorHAnsi" w:cstheme="minorHAnsi"/>
          <w:sz w:val="22"/>
          <w:szCs w:val="22"/>
        </w:rPr>
        <w:t>personal wellness data and</w:t>
      </w:r>
      <w:r w:rsidRPr="001C6A12">
        <w:rPr>
          <w:rFonts w:asciiTheme="minorHAnsi" w:eastAsia="Arial" w:hAnsiTheme="minorHAnsi" w:cstheme="minorHAnsi"/>
          <w:color w:val="000000"/>
          <w:sz w:val="22"/>
          <w:szCs w:val="22"/>
        </w:rPr>
        <w:t xml:space="preserve"> external obstacles to wellness</w:t>
      </w:r>
      <w:r w:rsidRPr="001C6A12">
        <w:rPr>
          <w:rFonts w:asciiTheme="minorHAnsi" w:eastAsia="Arial" w:hAnsiTheme="minorHAnsi" w:cstheme="minorHAnsi"/>
          <w:sz w:val="22"/>
          <w:szCs w:val="22"/>
        </w:rPr>
        <w:t>, with the goal of</w:t>
      </w:r>
      <w:r w:rsidRPr="001C6A12">
        <w:rPr>
          <w:rFonts w:asciiTheme="minorHAnsi" w:eastAsia="Arial" w:hAnsiTheme="minorHAnsi" w:cstheme="minorHAnsi"/>
          <w:color w:val="000000"/>
          <w:sz w:val="22"/>
          <w:szCs w:val="22"/>
        </w:rPr>
        <w:t xml:space="preserve"> developing a personal wellness plan focused on one or more of the</w:t>
      </w:r>
      <w:r w:rsidRPr="001C6A12">
        <w:rPr>
          <w:rFonts w:asciiTheme="minorHAnsi" w:eastAsia="Arial" w:hAnsiTheme="minorHAnsi" w:cstheme="minorHAnsi"/>
          <w:sz w:val="22"/>
          <w:szCs w:val="22"/>
        </w:rPr>
        <w:t>se</w:t>
      </w:r>
      <w:r w:rsidRPr="001C6A12">
        <w:rPr>
          <w:rFonts w:asciiTheme="minorHAnsi" w:eastAsia="Arial" w:hAnsiTheme="minorHAnsi" w:cstheme="minorHAnsi"/>
          <w:color w:val="000000"/>
          <w:sz w:val="22"/>
          <w:szCs w:val="22"/>
        </w:rPr>
        <w:t xml:space="preserve"> </w:t>
      </w:r>
      <w:r w:rsidRPr="001C6A12">
        <w:rPr>
          <w:rFonts w:asciiTheme="minorHAnsi" w:eastAsia="Arial" w:hAnsiTheme="minorHAnsi" w:cstheme="minorHAnsi"/>
          <w:sz w:val="22"/>
          <w:szCs w:val="22"/>
        </w:rPr>
        <w:t>dimensions of wellness</w:t>
      </w:r>
      <w:r w:rsidRPr="001C6A12">
        <w:rPr>
          <w:rFonts w:asciiTheme="minorHAnsi" w:eastAsia="Arial" w:hAnsiTheme="minorHAnsi" w:cstheme="minorHAnsi"/>
          <w:color w:val="000000"/>
          <w:sz w:val="22"/>
          <w:szCs w:val="22"/>
        </w:rPr>
        <w:t>.</w:t>
      </w:r>
    </w:p>
    <w:p w14:paraId="00000013" w14:textId="77777777" w:rsidR="00A11DFE" w:rsidRPr="001C6A12" w:rsidRDefault="00A11DFE">
      <w:pPr>
        <w:rPr>
          <w:rFonts w:asciiTheme="minorHAnsi" w:hAnsiTheme="minorHAnsi" w:cstheme="minorHAnsi"/>
          <w:sz w:val="22"/>
          <w:szCs w:val="22"/>
        </w:rPr>
      </w:pPr>
    </w:p>
    <w:p w14:paraId="00000016" w14:textId="77777777" w:rsidR="00A11DFE" w:rsidRPr="004B7CC1" w:rsidRDefault="004B7CC1" w:rsidP="004B7CC1">
      <w:pPr>
        <w:numPr>
          <w:ilvl w:val="0"/>
          <w:numId w:val="3"/>
        </w:numPr>
        <w:rPr>
          <w:rFonts w:asciiTheme="minorHAnsi" w:eastAsia="Arial" w:hAnsiTheme="minorHAnsi" w:cstheme="minorHAnsi"/>
          <w:sz w:val="16"/>
          <w:szCs w:val="16"/>
        </w:rPr>
      </w:pPr>
      <w:bookmarkStart w:id="0" w:name="_heading=h.gjdgxs" w:colFirst="0" w:colLast="0"/>
      <w:bookmarkEnd w:id="0"/>
      <w:r w:rsidRPr="004B7CC1">
        <w:rPr>
          <w:rFonts w:asciiTheme="minorHAnsi" w:eastAsia="Arial" w:hAnsiTheme="minorHAnsi" w:cstheme="minorHAnsi"/>
          <w:sz w:val="16"/>
          <w:szCs w:val="16"/>
        </w:rPr>
        <w:t>Monroe, C., Turner-</w:t>
      </w:r>
      <w:proofErr w:type="spellStart"/>
      <w:r w:rsidRPr="004B7CC1">
        <w:rPr>
          <w:rFonts w:asciiTheme="minorHAnsi" w:eastAsia="Arial" w:hAnsiTheme="minorHAnsi" w:cstheme="minorHAnsi"/>
          <w:sz w:val="16"/>
          <w:szCs w:val="16"/>
        </w:rPr>
        <w:t>McGrievy</w:t>
      </w:r>
      <w:proofErr w:type="spellEnd"/>
      <w:r w:rsidRPr="004B7CC1">
        <w:rPr>
          <w:rFonts w:asciiTheme="minorHAnsi" w:eastAsia="Arial" w:hAnsiTheme="minorHAnsi" w:cstheme="minorHAnsi"/>
          <w:sz w:val="16"/>
          <w:szCs w:val="16"/>
        </w:rPr>
        <w:t xml:space="preserve">, G., Larsen, C., </w:t>
      </w:r>
      <w:proofErr w:type="spellStart"/>
      <w:r w:rsidRPr="004B7CC1">
        <w:rPr>
          <w:rFonts w:asciiTheme="minorHAnsi" w:eastAsia="Arial" w:hAnsiTheme="minorHAnsi" w:cstheme="minorHAnsi"/>
          <w:sz w:val="16"/>
          <w:szCs w:val="16"/>
        </w:rPr>
        <w:t>Magradey</w:t>
      </w:r>
      <w:proofErr w:type="spellEnd"/>
      <w:r w:rsidRPr="004B7CC1">
        <w:rPr>
          <w:rFonts w:asciiTheme="minorHAnsi" w:eastAsia="Arial" w:hAnsiTheme="minorHAnsi" w:cstheme="minorHAnsi"/>
          <w:sz w:val="16"/>
          <w:szCs w:val="16"/>
        </w:rPr>
        <w:t xml:space="preserve">, K., Brandt, H., Wilcox, S., </w:t>
      </w:r>
      <w:proofErr w:type="spellStart"/>
      <w:r w:rsidRPr="004B7CC1">
        <w:rPr>
          <w:rFonts w:asciiTheme="minorHAnsi" w:eastAsia="Arial" w:hAnsiTheme="minorHAnsi" w:cstheme="minorHAnsi"/>
          <w:sz w:val="16"/>
          <w:szCs w:val="16"/>
        </w:rPr>
        <w:t>Sundstrom</w:t>
      </w:r>
      <w:proofErr w:type="spellEnd"/>
      <w:r w:rsidRPr="004B7CC1">
        <w:rPr>
          <w:rFonts w:asciiTheme="minorHAnsi" w:eastAsia="Arial" w:hAnsiTheme="minorHAnsi" w:cstheme="minorHAnsi"/>
          <w:sz w:val="16"/>
          <w:szCs w:val="16"/>
        </w:rPr>
        <w:t>, B., and West, D. (2017). College freshmen students’ perspectives on weight gain prevention in the digital age: web-based survey.</w:t>
      </w:r>
      <w:r w:rsidRPr="004B7CC1">
        <w:rPr>
          <w:rFonts w:asciiTheme="minorHAnsi" w:eastAsia="Arial" w:hAnsiTheme="minorHAnsi" w:cstheme="minorHAnsi"/>
          <w:i/>
          <w:sz w:val="16"/>
          <w:szCs w:val="16"/>
        </w:rPr>
        <w:t xml:space="preserve"> JMIR Public Health Surveillance, </w:t>
      </w:r>
      <w:r w:rsidRPr="004B7CC1">
        <w:rPr>
          <w:rFonts w:asciiTheme="minorHAnsi" w:eastAsia="Arial" w:hAnsiTheme="minorHAnsi" w:cstheme="minorHAnsi"/>
          <w:i/>
          <w:sz w:val="16"/>
          <w:szCs w:val="16"/>
        </w:rPr>
        <w:t>3</w:t>
      </w:r>
      <w:r w:rsidRPr="004B7CC1">
        <w:rPr>
          <w:rFonts w:asciiTheme="minorHAnsi" w:eastAsia="Arial" w:hAnsiTheme="minorHAnsi" w:cstheme="minorHAnsi"/>
          <w:sz w:val="16"/>
          <w:szCs w:val="16"/>
        </w:rPr>
        <w:t xml:space="preserve">(4):e71. </w:t>
      </w:r>
      <w:hyperlink r:id="rId6">
        <w:r w:rsidRPr="004B7CC1">
          <w:rPr>
            <w:rFonts w:asciiTheme="minorHAnsi" w:eastAsia="Arial" w:hAnsiTheme="minorHAnsi" w:cstheme="minorHAnsi"/>
            <w:color w:val="1155CC"/>
            <w:sz w:val="16"/>
            <w:szCs w:val="16"/>
            <w:u w:val="single"/>
          </w:rPr>
          <w:t>https://doi.org/10.2196/publichealth.7875</w:t>
        </w:r>
      </w:hyperlink>
      <w:r w:rsidRPr="004B7CC1">
        <w:rPr>
          <w:rFonts w:asciiTheme="minorHAnsi" w:eastAsia="Arial" w:hAnsiTheme="minorHAnsi" w:cstheme="minorHAnsi"/>
          <w:sz w:val="16"/>
          <w:szCs w:val="16"/>
        </w:rPr>
        <w:t xml:space="preserve"> </w:t>
      </w:r>
    </w:p>
    <w:p w14:paraId="00000017" w14:textId="6B66BEEB" w:rsidR="00A11DFE" w:rsidRPr="004B7CC1" w:rsidRDefault="004B7CC1" w:rsidP="004B7CC1">
      <w:pPr>
        <w:numPr>
          <w:ilvl w:val="0"/>
          <w:numId w:val="3"/>
        </w:numPr>
        <w:rPr>
          <w:rFonts w:asciiTheme="minorHAnsi" w:hAnsiTheme="minorHAnsi" w:cstheme="minorHAnsi"/>
          <w:sz w:val="16"/>
          <w:szCs w:val="16"/>
        </w:rPr>
      </w:pPr>
      <w:r w:rsidRPr="004B7CC1">
        <w:rPr>
          <w:rFonts w:asciiTheme="minorHAnsi" w:eastAsia="Arial" w:hAnsiTheme="minorHAnsi" w:cstheme="minorHAnsi"/>
          <w:sz w:val="16"/>
          <w:szCs w:val="16"/>
        </w:rPr>
        <w:t xml:space="preserve">Saleh, D., </w:t>
      </w:r>
      <w:proofErr w:type="spellStart"/>
      <w:r w:rsidRPr="004B7CC1">
        <w:rPr>
          <w:rFonts w:asciiTheme="minorHAnsi" w:eastAsia="Arial" w:hAnsiTheme="minorHAnsi" w:cstheme="minorHAnsi"/>
          <w:sz w:val="16"/>
          <w:szCs w:val="16"/>
        </w:rPr>
        <w:t>Camart</w:t>
      </w:r>
      <w:proofErr w:type="spellEnd"/>
      <w:r w:rsidRPr="004B7CC1">
        <w:rPr>
          <w:rFonts w:asciiTheme="minorHAnsi" w:eastAsia="Arial" w:hAnsiTheme="minorHAnsi" w:cstheme="minorHAnsi"/>
          <w:sz w:val="16"/>
          <w:szCs w:val="16"/>
        </w:rPr>
        <w:t xml:space="preserve">, M. and </w:t>
      </w:r>
      <w:proofErr w:type="spellStart"/>
      <w:r w:rsidRPr="004B7CC1">
        <w:rPr>
          <w:rFonts w:asciiTheme="minorHAnsi" w:eastAsia="Arial" w:hAnsiTheme="minorHAnsi" w:cstheme="minorHAnsi"/>
          <w:sz w:val="16"/>
          <w:szCs w:val="16"/>
        </w:rPr>
        <w:t>Romo</w:t>
      </w:r>
      <w:proofErr w:type="spellEnd"/>
      <w:r w:rsidRPr="004B7CC1">
        <w:rPr>
          <w:rFonts w:asciiTheme="minorHAnsi" w:eastAsia="Arial" w:hAnsiTheme="minorHAnsi" w:cstheme="minorHAnsi"/>
          <w:sz w:val="16"/>
          <w:szCs w:val="16"/>
        </w:rPr>
        <w:t xml:space="preserve">, L. (2017). Predictors of stress in college students. </w:t>
      </w:r>
      <w:r w:rsidRPr="004B7CC1">
        <w:rPr>
          <w:rFonts w:asciiTheme="minorHAnsi" w:eastAsia="Arial" w:hAnsiTheme="minorHAnsi" w:cstheme="minorHAnsi"/>
          <w:i/>
          <w:sz w:val="16"/>
          <w:szCs w:val="16"/>
        </w:rPr>
        <w:t xml:space="preserve">Frontiers in Psychology, 25. </w:t>
      </w:r>
      <w:hyperlink r:id="rId7" w:history="1">
        <w:r w:rsidRPr="004B7CC1">
          <w:rPr>
            <w:rStyle w:val="Hyperlink"/>
            <w:rFonts w:asciiTheme="minorHAnsi" w:eastAsia="Arial" w:hAnsiTheme="minorHAnsi" w:cstheme="minorHAnsi"/>
            <w:sz w:val="16"/>
            <w:szCs w:val="16"/>
            <w:highlight w:val="white"/>
          </w:rPr>
          <w:t>https://doi.org/10.3389/fpsyg.2017.00019</w:t>
        </w:r>
      </w:hyperlink>
    </w:p>
    <w:p w14:paraId="00000018" w14:textId="77777777" w:rsidR="00A11DFE" w:rsidRPr="004B7CC1" w:rsidRDefault="004B7CC1" w:rsidP="004B7CC1">
      <w:pPr>
        <w:numPr>
          <w:ilvl w:val="0"/>
          <w:numId w:val="3"/>
        </w:numPr>
        <w:rPr>
          <w:rFonts w:asciiTheme="minorHAnsi" w:eastAsia="Arial" w:hAnsiTheme="minorHAnsi" w:cstheme="minorHAnsi"/>
          <w:sz w:val="16"/>
          <w:szCs w:val="16"/>
        </w:rPr>
      </w:pPr>
      <w:proofErr w:type="spellStart"/>
      <w:r w:rsidRPr="004B7CC1">
        <w:rPr>
          <w:rFonts w:asciiTheme="minorHAnsi" w:eastAsia="Arial" w:hAnsiTheme="minorHAnsi" w:cstheme="minorHAnsi"/>
          <w:color w:val="303030"/>
          <w:sz w:val="16"/>
          <w:szCs w:val="16"/>
          <w:highlight w:val="white"/>
        </w:rPr>
        <w:t>Plotnikoff</w:t>
      </w:r>
      <w:proofErr w:type="spellEnd"/>
      <w:r w:rsidRPr="004B7CC1">
        <w:rPr>
          <w:rFonts w:asciiTheme="minorHAnsi" w:eastAsia="Arial" w:hAnsiTheme="minorHAnsi" w:cstheme="minorHAnsi"/>
          <w:color w:val="303030"/>
          <w:sz w:val="16"/>
          <w:szCs w:val="16"/>
          <w:highlight w:val="white"/>
        </w:rPr>
        <w:t xml:space="preserve">, R. C., </w:t>
      </w:r>
      <w:proofErr w:type="spellStart"/>
      <w:r w:rsidRPr="004B7CC1">
        <w:rPr>
          <w:rFonts w:asciiTheme="minorHAnsi" w:eastAsia="Arial" w:hAnsiTheme="minorHAnsi" w:cstheme="minorHAnsi"/>
          <w:color w:val="303030"/>
          <w:sz w:val="16"/>
          <w:szCs w:val="16"/>
          <w:highlight w:val="white"/>
        </w:rPr>
        <w:t>Costigan</w:t>
      </w:r>
      <w:proofErr w:type="spellEnd"/>
      <w:r w:rsidRPr="004B7CC1">
        <w:rPr>
          <w:rFonts w:asciiTheme="minorHAnsi" w:eastAsia="Arial" w:hAnsiTheme="minorHAnsi" w:cstheme="minorHAnsi"/>
          <w:color w:val="303030"/>
          <w:sz w:val="16"/>
          <w:szCs w:val="16"/>
          <w:highlight w:val="white"/>
        </w:rPr>
        <w:t xml:space="preserve">, S. A., Williams, R. L., </w:t>
      </w:r>
      <w:proofErr w:type="spellStart"/>
      <w:r w:rsidRPr="004B7CC1">
        <w:rPr>
          <w:rFonts w:asciiTheme="minorHAnsi" w:eastAsia="Arial" w:hAnsiTheme="minorHAnsi" w:cstheme="minorHAnsi"/>
          <w:color w:val="303030"/>
          <w:sz w:val="16"/>
          <w:szCs w:val="16"/>
          <w:highlight w:val="white"/>
        </w:rPr>
        <w:t>Hutchesson</w:t>
      </w:r>
      <w:proofErr w:type="spellEnd"/>
      <w:r w:rsidRPr="004B7CC1">
        <w:rPr>
          <w:rFonts w:asciiTheme="minorHAnsi" w:eastAsia="Arial" w:hAnsiTheme="minorHAnsi" w:cstheme="minorHAnsi"/>
          <w:color w:val="303030"/>
          <w:sz w:val="16"/>
          <w:szCs w:val="16"/>
          <w:highlight w:val="white"/>
        </w:rPr>
        <w:t xml:space="preserve">, M. J., Kennedy, S. G., </w:t>
      </w:r>
      <w:proofErr w:type="spellStart"/>
      <w:r w:rsidRPr="004B7CC1">
        <w:rPr>
          <w:rFonts w:asciiTheme="minorHAnsi" w:eastAsia="Arial" w:hAnsiTheme="minorHAnsi" w:cstheme="minorHAnsi"/>
          <w:color w:val="303030"/>
          <w:sz w:val="16"/>
          <w:szCs w:val="16"/>
          <w:highlight w:val="white"/>
        </w:rPr>
        <w:t>Robards</w:t>
      </w:r>
      <w:proofErr w:type="spellEnd"/>
      <w:r w:rsidRPr="004B7CC1">
        <w:rPr>
          <w:rFonts w:asciiTheme="minorHAnsi" w:eastAsia="Arial" w:hAnsiTheme="minorHAnsi" w:cstheme="minorHAnsi"/>
          <w:color w:val="303030"/>
          <w:sz w:val="16"/>
          <w:szCs w:val="16"/>
          <w:highlight w:val="white"/>
        </w:rPr>
        <w:t xml:space="preserve">, S. L., Allen, J., Collins, C. E., </w:t>
      </w:r>
      <w:proofErr w:type="spellStart"/>
      <w:r w:rsidRPr="004B7CC1">
        <w:rPr>
          <w:rFonts w:asciiTheme="minorHAnsi" w:eastAsia="Arial" w:hAnsiTheme="minorHAnsi" w:cstheme="minorHAnsi"/>
          <w:color w:val="303030"/>
          <w:sz w:val="16"/>
          <w:szCs w:val="16"/>
          <w:highlight w:val="white"/>
        </w:rPr>
        <w:t>Callister</w:t>
      </w:r>
      <w:proofErr w:type="spellEnd"/>
      <w:r w:rsidRPr="004B7CC1">
        <w:rPr>
          <w:rFonts w:asciiTheme="minorHAnsi" w:eastAsia="Arial" w:hAnsiTheme="minorHAnsi" w:cstheme="minorHAnsi"/>
          <w:color w:val="303030"/>
          <w:sz w:val="16"/>
          <w:szCs w:val="16"/>
          <w:highlight w:val="white"/>
        </w:rPr>
        <w:t xml:space="preserve">, R., &amp; </w:t>
      </w:r>
      <w:proofErr w:type="spellStart"/>
      <w:r w:rsidRPr="004B7CC1">
        <w:rPr>
          <w:rFonts w:asciiTheme="minorHAnsi" w:eastAsia="Arial" w:hAnsiTheme="minorHAnsi" w:cstheme="minorHAnsi"/>
          <w:color w:val="303030"/>
          <w:sz w:val="16"/>
          <w:szCs w:val="16"/>
          <w:highlight w:val="white"/>
        </w:rPr>
        <w:t>Germov</w:t>
      </w:r>
      <w:proofErr w:type="spellEnd"/>
      <w:r w:rsidRPr="004B7CC1">
        <w:rPr>
          <w:rFonts w:asciiTheme="minorHAnsi" w:eastAsia="Arial" w:hAnsiTheme="minorHAnsi" w:cstheme="minorHAnsi"/>
          <w:color w:val="303030"/>
          <w:sz w:val="16"/>
          <w:szCs w:val="16"/>
          <w:highlight w:val="white"/>
        </w:rPr>
        <w:t>, J. (2015). Effectiveness of</w:t>
      </w:r>
      <w:r w:rsidRPr="004B7CC1">
        <w:rPr>
          <w:rFonts w:asciiTheme="minorHAnsi" w:eastAsia="Arial" w:hAnsiTheme="minorHAnsi" w:cstheme="minorHAnsi"/>
          <w:color w:val="303030"/>
          <w:sz w:val="16"/>
          <w:szCs w:val="16"/>
          <w:highlight w:val="white"/>
        </w:rPr>
        <w:t xml:space="preserve"> interventions targeting physical activity, nutrition and healthy weight for university and college students: a systematic review and meta-analysis. </w:t>
      </w:r>
      <w:r w:rsidRPr="004B7CC1">
        <w:rPr>
          <w:rFonts w:asciiTheme="minorHAnsi" w:eastAsia="Arial" w:hAnsiTheme="minorHAnsi" w:cstheme="minorHAnsi"/>
          <w:i/>
          <w:color w:val="303030"/>
          <w:sz w:val="16"/>
          <w:szCs w:val="16"/>
          <w:highlight w:val="white"/>
        </w:rPr>
        <w:t>The international journal of behavioral nutrition and physical activity</w:t>
      </w:r>
      <w:r w:rsidRPr="004B7CC1">
        <w:rPr>
          <w:rFonts w:asciiTheme="minorHAnsi" w:eastAsia="Arial" w:hAnsiTheme="minorHAnsi" w:cstheme="minorHAnsi"/>
          <w:color w:val="303030"/>
          <w:sz w:val="16"/>
          <w:szCs w:val="16"/>
          <w:highlight w:val="white"/>
        </w:rPr>
        <w:t xml:space="preserve">, </w:t>
      </w:r>
      <w:r w:rsidRPr="004B7CC1">
        <w:rPr>
          <w:rFonts w:asciiTheme="minorHAnsi" w:eastAsia="Arial" w:hAnsiTheme="minorHAnsi" w:cstheme="minorHAnsi"/>
          <w:i/>
          <w:color w:val="303030"/>
          <w:sz w:val="16"/>
          <w:szCs w:val="16"/>
          <w:highlight w:val="white"/>
        </w:rPr>
        <w:t>12</w:t>
      </w:r>
      <w:r w:rsidRPr="004B7CC1">
        <w:rPr>
          <w:rFonts w:asciiTheme="minorHAnsi" w:eastAsia="Arial" w:hAnsiTheme="minorHAnsi" w:cstheme="minorHAnsi"/>
          <w:color w:val="303030"/>
          <w:sz w:val="16"/>
          <w:szCs w:val="16"/>
          <w:highlight w:val="white"/>
        </w:rPr>
        <w:t>, 45. https://doi.org/10.1186/s1</w:t>
      </w:r>
      <w:r w:rsidRPr="004B7CC1">
        <w:rPr>
          <w:rFonts w:asciiTheme="minorHAnsi" w:eastAsia="Arial" w:hAnsiTheme="minorHAnsi" w:cstheme="minorHAnsi"/>
          <w:color w:val="303030"/>
          <w:sz w:val="16"/>
          <w:szCs w:val="16"/>
          <w:highlight w:val="white"/>
        </w:rPr>
        <w:t>2966-015-0203-7</w:t>
      </w:r>
      <w:bookmarkStart w:id="1" w:name="_GoBack"/>
      <w:bookmarkEnd w:id="1"/>
    </w:p>
    <w:sectPr w:rsidR="00A11DFE" w:rsidRPr="004B7CC1" w:rsidSect="004B7CC1">
      <w:pgSz w:w="12240" w:h="15840"/>
      <w:pgMar w:top="720" w:right="720" w:bottom="720" w:left="72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F2A07"/>
    <w:multiLevelType w:val="multilevel"/>
    <w:tmpl w:val="07B029DE"/>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17A0879"/>
    <w:multiLevelType w:val="multilevel"/>
    <w:tmpl w:val="71DC76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0453FA6"/>
    <w:multiLevelType w:val="multilevel"/>
    <w:tmpl w:val="EAFC60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DFE"/>
    <w:rsid w:val="001C6A12"/>
    <w:rsid w:val="004B7CC1"/>
    <w:rsid w:val="00A11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10F8E"/>
  <w15:docId w15:val="{6C086474-7576-4A0A-ACF5-495391C9E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A12D4C"/>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Hyperlink">
    <w:name w:val="Hyperlink"/>
    <w:basedOn w:val="DefaultParagraphFont"/>
    <w:uiPriority w:val="99"/>
    <w:unhideWhenUsed/>
    <w:rsid w:val="004B7C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10.3389/fpsyg.2017.000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2196/publichealth.787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EPSXT7M3lnfaOLInvRfsXVhOdA==">AMUW2mXXXyrnka7JeSaTFNl4AzhHotw1d9irxwXmr+AFdW4Dam8a5gtR/rByeQUEKP91oMay0UsxWhC229tWW571knO8TL/F/FznjpaNp/Lm6OM37vxc+Vlvmvxyw4exMp8/1cVEhY4c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Fitchburg State University</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Elizabeth Gordon - Geo. Science</cp:lastModifiedBy>
  <cp:revision>3</cp:revision>
  <dcterms:created xsi:type="dcterms:W3CDTF">2020-10-19T23:35:00Z</dcterms:created>
  <dcterms:modified xsi:type="dcterms:W3CDTF">2021-03-14T19:02:00Z</dcterms:modified>
</cp:coreProperties>
</file>